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AD" w:rsidRPr="00B229AD" w:rsidRDefault="00B229AD" w:rsidP="00B229AD">
      <w:pPr>
        <w:shd w:val="clear" w:color="auto" w:fill="F1F1F1"/>
        <w:spacing w:after="0" w:line="240" w:lineRule="auto"/>
        <w:jc w:val="both"/>
        <w:textAlignment w:val="baseline"/>
        <w:outlineLvl w:val="0"/>
        <w:rPr>
          <w:rFonts w:ascii="Arial" w:eastAsia="Times New Roman" w:hAnsi="Arial" w:cs="Arial"/>
          <w:b/>
          <w:bCs/>
          <w:color w:val="666666"/>
          <w:kern w:val="36"/>
          <w:sz w:val="30"/>
          <w:szCs w:val="30"/>
        </w:rPr>
      </w:pPr>
      <w:r w:rsidRPr="00B229AD">
        <w:rPr>
          <w:rFonts w:ascii="Arial" w:eastAsia="Times New Roman" w:hAnsi="Arial" w:cs="Arial"/>
          <w:b/>
          <w:bCs/>
          <w:color w:val="666666"/>
          <w:kern w:val="36"/>
          <w:sz w:val="30"/>
          <w:szCs w:val="30"/>
        </w:rPr>
        <w:t>Kế hoạch Tổ chức lấy ý kiến Nhân dân, các ngành, các cấp về dự thảo Nghị quyết sửa đổi, bổ sung một số điều của Hiến pháp nước Cộng hòa xã hội chủ nghĩa Việt Nam năm 2013</w:t>
      </w:r>
    </w:p>
    <w:p w:rsidR="00B229AD" w:rsidRPr="00B229AD" w:rsidRDefault="00B229AD" w:rsidP="00B229AD">
      <w:pPr>
        <w:shd w:val="clear" w:color="auto" w:fill="F1F1F1"/>
        <w:spacing w:after="0" w:line="240" w:lineRule="auto"/>
        <w:textAlignment w:val="baseline"/>
        <w:rPr>
          <w:rFonts w:ascii="Arial" w:eastAsia="Times New Roman" w:hAnsi="Arial" w:cs="Arial"/>
          <w:color w:val="888888"/>
          <w:sz w:val="20"/>
          <w:szCs w:val="20"/>
        </w:rPr>
      </w:pPr>
      <w:r w:rsidRPr="00B229AD">
        <w:rPr>
          <w:rFonts w:ascii="Arial" w:eastAsia="Times New Roman" w:hAnsi="Arial" w:cs="Arial"/>
          <w:color w:val="888888"/>
          <w:sz w:val="22"/>
          <w:bdr w:val="none" w:sz="0" w:space="0" w:color="auto" w:frame="1"/>
        </w:rPr>
        <w:t>06/05/2025</w:t>
      </w:r>
    </w:p>
    <w:p w:rsidR="00B229AD" w:rsidRPr="00B229AD" w:rsidRDefault="00B229AD" w:rsidP="00B229AD">
      <w:pPr>
        <w:shd w:val="clear" w:color="auto" w:fill="F1F1F1"/>
        <w:spacing w:after="0" w:line="240" w:lineRule="auto"/>
        <w:jc w:val="both"/>
        <w:textAlignment w:val="baseline"/>
        <w:rPr>
          <w:rFonts w:ascii="Arial" w:eastAsia="Times New Roman" w:hAnsi="Arial" w:cs="Arial"/>
          <w:b/>
          <w:bCs/>
          <w:color w:val="666666"/>
          <w:sz w:val="22"/>
        </w:rPr>
      </w:pPr>
      <w:r w:rsidRPr="00B229AD">
        <w:rPr>
          <w:rFonts w:ascii="Arial" w:eastAsia="Times New Roman" w:hAnsi="Arial" w:cs="Arial"/>
          <w:b/>
          <w:bCs/>
          <w:color w:val="666666"/>
          <w:sz w:val="22"/>
        </w:rPr>
        <w:t>Cổng Thông tin điện tử Quốc hội trân trọng giới thiệu Toàn văn Kế hoạch Tổ chức lấy ý kiến Nhân dân, các ngành, các cấp về dự thảo Nghị quyết sửa đổi, bổ sung một số điều của Hiến pháp nước Cộng hòa xã hội chủ nghĩa Việt Nam năm 2013:</w:t>
      </w:r>
    </w:p>
    <w:tbl>
      <w:tblPr>
        <w:tblW w:w="10500" w:type="dxa"/>
        <w:tblCellMar>
          <w:left w:w="0" w:type="dxa"/>
          <w:right w:w="0" w:type="dxa"/>
        </w:tblCellMar>
        <w:tblLook w:val="04A0" w:firstRow="1" w:lastRow="0" w:firstColumn="1" w:lastColumn="0" w:noHBand="0" w:noVBand="1"/>
      </w:tblPr>
      <w:tblGrid>
        <w:gridCol w:w="5069"/>
        <w:gridCol w:w="5431"/>
      </w:tblGrid>
      <w:tr w:rsidR="00B229AD" w:rsidRPr="00B229AD" w:rsidTr="00B229AD">
        <w:trPr>
          <w:trHeight w:val="765"/>
        </w:trPr>
        <w:tc>
          <w:tcPr>
            <w:tcW w:w="4410" w:type="dxa"/>
            <w:vAlign w:val="center"/>
            <w:hideMark/>
          </w:tcPr>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QUỐC HỘI KHÓA XV</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ỦY BAN DỰ THẢO SỬA ĐỔI,</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BỔ SUNG MỘT SỐ ĐIỀU CỦA</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HIẾN PHÁP NĂM 2013</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Số: 05/KH-UBDTSĐBSHP</w:t>
            </w:r>
          </w:p>
        </w:tc>
        <w:tc>
          <w:tcPr>
            <w:tcW w:w="4725" w:type="dxa"/>
            <w:vAlign w:val="center"/>
            <w:hideMark/>
          </w:tcPr>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CỘNG HÒA XÃ HỘI CHỦ NGHĨA VIỆT NAM</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Độc lập - Tự do - Hạnh phúc</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i/>
                <w:iCs/>
                <w:sz w:val="22"/>
                <w:bdr w:val="none" w:sz="0" w:space="0" w:color="auto" w:frame="1"/>
              </w:rPr>
              <w:t>Hà Nội, ngày 05 tháng 5 năm 2025</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 </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 </w:t>
            </w:r>
          </w:p>
        </w:tc>
      </w:tr>
    </w:tbl>
    <w:p w:rsidR="00B229AD" w:rsidRPr="00B229AD" w:rsidRDefault="00B229AD" w:rsidP="00B229AD">
      <w:pPr>
        <w:shd w:val="clear" w:color="auto" w:fill="F1F1F1"/>
        <w:spacing w:after="0" w:line="240" w:lineRule="auto"/>
        <w:jc w:val="center"/>
        <w:textAlignment w:val="baseline"/>
        <w:rPr>
          <w:rFonts w:eastAsia="Times New Roman" w:cs="Times New Roman"/>
          <w:color w:val="222222"/>
          <w:sz w:val="22"/>
        </w:rPr>
      </w:pPr>
      <w:r w:rsidRPr="00B229AD">
        <w:rPr>
          <w:rFonts w:eastAsia="Times New Roman" w:cs="Times New Roman"/>
          <w:b/>
          <w:bCs/>
          <w:color w:val="222222"/>
          <w:sz w:val="22"/>
        </w:rPr>
        <w:t>KẾ HOẠCH</w:t>
      </w:r>
    </w:p>
    <w:p w:rsidR="00B229AD" w:rsidRPr="00B229AD" w:rsidRDefault="00B229AD" w:rsidP="00B229AD">
      <w:pPr>
        <w:shd w:val="clear" w:color="auto" w:fill="F1F1F1"/>
        <w:spacing w:after="0" w:line="240" w:lineRule="auto"/>
        <w:jc w:val="center"/>
        <w:textAlignment w:val="baseline"/>
        <w:rPr>
          <w:rFonts w:eastAsia="Times New Roman" w:cs="Times New Roman"/>
          <w:color w:val="222222"/>
          <w:sz w:val="22"/>
        </w:rPr>
      </w:pPr>
      <w:r w:rsidRPr="00B229AD">
        <w:rPr>
          <w:rFonts w:eastAsia="Times New Roman" w:cs="Times New Roman"/>
          <w:b/>
          <w:bCs/>
          <w:color w:val="222222"/>
          <w:sz w:val="22"/>
        </w:rPr>
        <w:t>Tổ chức lấy ý kiến Nhân dân, các ngành, các cấp</w:t>
      </w:r>
    </w:p>
    <w:p w:rsidR="00B229AD" w:rsidRPr="00B229AD" w:rsidRDefault="00B229AD" w:rsidP="00B229AD">
      <w:pPr>
        <w:shd w:val="clear" w:color="auto" w:fill="F1F1F1"/>
        <w:spacing w:after="0" w:line="240" w:lineRule="auto"/>
        <w:jc w:val="center"/>
        <w:textAlignment w:val="baseline"/>
        <w:rPr>
          <w:rFonts w:eastAsia="Times New Roman" w:cs="Times New Roman"/>
          <w:color w:val="222222"/>
          <w:sz w:val="22"/>
        </w:rPr>
      </w:pPr>
      <w:proofErr w:type="gramStart"/>
      <w:r w:rsidRPr="00B229AD">
        <w:rPr>
          <w:rFonts w:eastAsia="Times New Roman" w:cs="Times New Roman"/>
          <w:b/>
          <w:bCs/>
          <w:color w:val="222222"/>
          <w:sz w:val="22"/>
        </w:rPr>
        <w:t>về</w:t>
      </w:r>
      <w:proofErr w:type="gramEnd"/>
      <w:r w:rsidRPr="00B229AD">
        <w:rPr>
          <w:rFonts w:eastAsia="Times New Roman" w:cs="Times New Roman"/>
          <w:b/>
          <w:bCs/>
          <w:color w:val="222222"/>
          <w:sz w:val="22"/>
        </w:rPr>
        <w:t xml:space="preserve"> dự thảo Nghị quyết sửa đổi, bổ sung một số điều của</w:t>
      </w:r>
    </w:p>
    <w:p w:rsidR="00B229AD" w:rsidRPr="00B229AD" w:rsidRDefault="00B229AD" w:rsidP="00B229AD">
      <w:pPr>
        <w:shd w:val="clear" w:color="auto" w:fill="F1F1F1"/>
        <w:spacing w:after="0" w:line="240" w:lineRule="auto"/>
        <w:jc w:val="center"/>
        <w:textAlignment w:val="baseline"/>
        <w:rPr>
          <w:rFonts w:eastAsia="Times New Roman" w:cs="Times New Roman"/>
          <w:color w:val="222222"/>
          <w:sz w:val="22"/>
        </w:rPr>
      </w:pPr>
      <w:r w:rsidRPr="00B229AD">
        <w:rPr>
          <w:rFonts w:eastAsia="Times New Roman" w:cs="Times New Roman"/>
          <w:b/>
          <w:bCs/>
          <w:color w:val="222222"/>
          <w:sz w:val="22"/>
        </w:rPr>
        <w:t>Hiến pháp nước Cộng hòa xã hội chủ nghĩa Việt Nam năm 2013</w:t>
      </w:r>
    </w:p>
    <w:p w:rsidR="00B229AD" w:rsidRPr="00B229AD" w:rsidRDefault="00B229AD" w:rsidP="00B229AD">
      <w:pPr>
        <w:shd w:val="clear" w:color="auto" w:fill="F1F1F1"/>
        <w:spacing w:after="0" w:line="240" w:lineRule="auto"/>
        <w:jc w:val="center"/>
        <w:textAlignment w:val="baseline"/>
        <w:rPr>
          <w:rFonts w:eastAsia="Times New Roman" w:cs="Times New Roman"/>
          <w:color w:val="222222"/>
          <w:sz w:val="22"/>
        </w:rPr>
      </w:pPr>
      <w:r w:rsidRPr="00B229AD">
        <w:rPr>
          <w:rFonts w:eastAsia="Times New Roman" w:cs="Times New Roman"/>
          <w:color w:val="222222"/>
          <w:sz w:val="22"/>
        </w:rPr>
        <w:t>-------</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Căn cứ Nghị quyết số 194/2025/QH15 ngày 05/5/2025 của Quốc hội về việc sửa đổi, bổ sung một số điều của Hiến pháp năm 2013 và Nghị quyết số 195/2025/QH15 ngày 05/5/2025 của Quốc hội về việc thành lập Ủy ban dự thảo sửa đổi, bổ sung một số điều của Hiến pháp năm 2013, Ủy ban dự thảo sửa đổi, bổ sung một số điều của Hiến pháp năm 2013 (sau đây gọi là Ủy ban dự thảo sửa đổi, bổ sung Hiến pháp) ban hành Kế hoạch tổ chức lấy ý kiến Nhân dân, các ngành, các cấp</w:t>
      </w:r>
      <w:bookmarkStart w:id="0" w:name="_GoBack"/>
      <w:bookmarkEnd w:id="0"/>
      <w:r w:rsidRPr="00B229AD">
        <w:rPr>
          <w:rFonts w:eastAsia="Times New Roman" w:cs="Times New Roman"/>
          <w:color w:val="222222"/>
          <w:sz w:val="22"/>
        </w:rPr>
        <w:t xml:space="preserve"> về dự thảo Nghị quyết sửa đổi, bổ sung một số điều của Hiến pháp nước Cộng hòa xã hội chủ nghĩa Việt Nam năm 2013 (sau đây gọi là dự thảo Nghị quyết) như sau:</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I. MỤC ĐÍCH, YÊU CẦU</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1. Mục đích</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Việc lấy ý kiến Nhân dân, các ngành, các cấp về dự thảo Nghị quyết nhằm phát huy quyền làm chủ của Nhân dân, huy động trí tuệ, tâm huyết và tạo sự đồng thuận, thống nhất cao của toàn dân trong việc sửa đổi, bổ sung Hiến pháp năm 2013, bảo đảm Hiến pháp phản ánh đúng ý chí, nguyện vọng của Nhân dân.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2. Yêu cầu</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Việc tổ chức lấy ý kiến Nhân dân, các ngành, các cấp về dự thảo Nghị quyết phải bảo đảm các yêu cầu sau đây:</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Việc tổ chức lấy ý kiến Nhân dân, các ngành, các cấp phải được tiến hành dân chủ, khoa học, công khai, minh bạch, thực chất, bảo đảm tiến độ, chất lượng và tiết kiệm.</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Việc tổ chức lấy ý kiến Nhân dân, các ngành, các cấp phải bảo đảm sự lãnh đạo của các cấp ủy Đảng; sự chỉ đạo, tổ chức thực hiện chặt chẽ của các cấp chính quyền; đề cao trách nhiệm người đứng đầu và sự phối hợp giữa các cơ quan, tổ chức.</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Việc lấy ý kiến Nhân dân, các ngành, các cấp cần được thực hiện với các hình thức đa dạng, thích hợp, linh hoạt, tăng cường ứng dụng công nghệ thông tin, phù hợp với thực tế ở cơ sở, tạo điều kiện thuận lợi để các tầng lớp Nhân dân tham gia góp ý.</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Ý kiến đóng góp của Nhân dân, các ngành, các cấp phải được tập hợp, tổng hợp đầy đủ, chính xác, khách quan và phải được nghiên cứu tiếp thu, giải trình nghiêm túc, làm cơ sở cho việc hoàn thiện dự thảo Nghị quyết để trình Quốc hội xem xét, thông qua.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Tăng cường công tác thông tin, tuyên truyền, định hướng tư tưởng và dư luận xã hội để tạo sự đồng thuận, thống nhất cao; kiên quyết đấu tranh với các luận điệu chống phá, xuyên tạc chủ trương, đường lối của Đảng và pháp luật của Nhà nước trong quá trình lấy ý kiến Nhân dân, các ngành, các cấp.</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II. ĐỐI TƯỢNG, NỘI DUNG, HÌNH THỨC, TÀI LIỆU, THỜI GIAN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1. Đối tượng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Các tầng lớp Nhân dân.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lastRenderedPageBreak/>
        <w:t>- Các cơ quan, tổ chức ở trung ương và địa phương.</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Mặt trận Tổ quốc Việt Nam và các tổ chức thành viên.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Các chuyên gia, nhà khoa học.</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2. Nội dung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Lấy ý kiến Nhân dân, các ngành, các cấp về toàn bộ dự thảo Nghị quyết sửa đổi, bổ sung một số điều của Hiến pháp nước Cộng hòa xã hội chủ nghĩa Việt Nam năm 2013 (có tài liệu gửi kèm theo), bao gồm bố cục, nội dung và kỹ thuật trình bày.</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3. Hình thức tổ chức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Các cá nhân có thể góp ý kiến trực tiếp trên ứng dụng VNeID, Cổng thông tin điện tử Quốc hội, Cổng thông tin điện tử Chính phủ hoặc gửi ý kiến bằng văn bản gửi đến các cơ quan có trách nhiệm tổng hợp ý kiến của Nhân dân nêu tại mục III của Kế hoạch này.</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Các cơ quan, tổ chức, theo chức năng, nhiệm vụ, quyền hạn, yêu cầu tiến độ, tình hình thực tế của cơ quan, tổ chức, địa phương mình, chủ động lên kế hoạch tổ chức các hội nghị, hội thảo, tọa đàm để lấy ý kiến đối tượng thuộc phạm vi quản lý, các chuyên gia, nhà khoa học.</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xml:space="preserve">- Chính quyền địa phương các cấp tổ chức lấy ý kiến Nhân dân bằng các hình thức phù hợp với điều kiện thực tiễn </w:t>
      </w:r>
      <w:proofErr w:type="gramStart"/>
      <w:r w:rsidRPr="00B229AD">
        <w:rPr>
          <w:rFonts w:eastAsia="Times New Roman" w:cs="Times New Roman"/>
          <w:color w:val="222222"/>
          <w:sz w:val="22"/>
        </w:rPr>
        <w:t>theo</w:t>
      </w:r>
      <w:proofErr w:type="gramEnd"/>
      <w:r w:rsidRPr="00B229AD">
        <w:rPr>
          <w:rFonts w:eastAsia="Times New Roman" w:cs="Times New Roman"/>
          <w:color w:val="222222"/>
          <w:sz w:val="22"/>
        </w:rPr>
        <w:t xml:space="preserve"> quy định của pháp luật về thực hiện dân chủ ở cơ sở.</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4. Tài liệu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Tài liệu phục vụ lấy ý kiến Nhân dân, các ngành, các cấp bao gồm:</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Kế hoạch số 05/KH-UBDTSĐBSHP ngày 05/5/2025 của Ủy ban dự thảo sửa đổi, bổ sung một số điều của Hiến pháp năm 2013 về tổ chức lấy ý kiến Nhân dân, các ngành, các cấp về dự thảo Nghị quyết sửa đổi, bổ sung một số điều của Hiến pháp nước Cộng hòa xã hội chủ nghĩa Việt Nam năm 2013;</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Dự thảo Nghị quyết sửa đổi, bổ sung một số điều của Hiến pháp nước Cộng hòa xã hội chủ nghĩa Việt Nam năm 2013;</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Bản thuyết minh về dự thảo Nghị quyết;</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Bản so sánh các nội dung dự kiến sửa đổi, bổ sung một số điều của Hiến pháp năm 2013 với quy định hiện hành của Hiến pháp.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(Các tài liệu trên được công bố tại Cổng thông tin điện tử của Quốc hội, Chính phủ, Ủy ban nhân dân các tỉnh, thành phố trực thuộc trung ương).</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5. Thời gian lấy ý kiến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Thời gian lấy ý kiến Nhân dân, các ngành, các cấp về dự thảo Nghị quyết bắt đầu từ ngày 06 tháng 5 năm 2025 và hoàn thành vào ngày 05 tháng 6 năm 2025.</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III. PHÂN CÔNG TRÁCH NHIỆM VÀ TỔ CHỨC THỰC HIỆN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1. Ủy ban dự thảo sửa đổi, bổ sung Hiến pháp có trách nhiệm chủ trì, phối hợp với các cơ quan liên quan công bố toàn văn dự thảo Nghị quyết và các tài liệu kèm theo phục vụ lấy ý kiến Nhân dân, các ngành, các cấp; theo dõi, giám sát việc thực hiện Kế hoạch này; nghiên cứu tiếp thu ý kiến đóng góp của Nhân dân, các ngành, các cấp để chỉnh lý, hoàn thiện dự thảo Nghị quyết trình Quốc hội xem xét, quyết định.</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2. Chính phủ chủ trì việc tổ chức triển khai thực hiện Kế hoạch này; hướng dẫn việc tổ chức lấy ý kiến và tổng hợp ý kiến của Nhân dân; chỉ đạo các Bộ, cơ quan ngang Bộ, cơ quan thuộc Chính phủ, các tỉnh, thành phố trực thuộc trung ương, trong phạm vi nhiệm vụ, quyền hạn của mình, xác định phạm vi, đối tượng, hình thức lấy ý kiến và xây dựng báo cáo tổng hợp kết quả lấy ý kiến của cơ quan, địa phương mình gửi đến Chính phủ.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3. Tòa án nhân dân tối cao, Viện kiểm sát nhân dân tối cao, Kiểm toán nhà nước, các Ban Đảng ở Trung ương, Văn phòng Trung ương Đảng, Văn phòng Chủ tịch nước tổ chức lấy ý kiến trong ngành, cơ quan mình với phạm vi, hình thức thích hợp và xây dựng báo cáo tổng hợp kết quả lấy ý kiến của ngành, cơ quan mình gửi đến Chính phủ.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4. Ủy ban Trung ương Mặt trận Tổ quốc Việt Nam chủ trì, phối hợp với cơ quan trung ương của các tổ chức thành viên của Mặt trận tổ chức lấy ý kiến đóng góp trong tổ chức mình với phạm vi, hình thức thích hợp và xây dựng báo cáo tổng hợp kết quả lấy ý kiến của Mặt trận Tổ quốc Việt Nam gửi đến Chính phủ.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5. Ủy ban nhân dân tỉnh, thành phố trực thuộc trung ương có trách nhiệm công bố tài liệu lấy ý kiến trên cổng thông tin điện tử chính thức của địa phương (từ nguồn công bố tại Cổng thông tin điện tử Quốc hội); chủ trì, phối hợp với Hội đồng nhân dân, Ủy ban Mặt trận Tổ quốc Việt Nam cùng cấp và Đoàn đại biểu Quốc hội tổ chức lấy ý kiến theo các hình thức phù hợp xác định tại điểm II.3 của Kế hoạch này và xây dựng báo cáo tổng hợp kết quả lấy ý kiến Nhân dân ở địa phương mình gửi đến Chính phủ.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6. Văn phòng Quốc hội, Văn phòng Chính phủ có trách nhiệm công bố toàn bộ dự thảo Nghị quyết và các tài liệu kèm theo phục vụ lấy ý kiến Nhân dân lên Cổng thông tin điện tử của Quốc hội, Chính phủ, tập hợp và xây dựng báo cáo tổng hợp ý kiến của Nhân dân trên cổng thông tin điện tử (nếu có) gửi đến Chính phủ. </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7. Các Đoàn đại biểu Quốc hội, các đại biểu Quốc hội có trách nhiệm thu thập, nghiên cứu ý kiến đóng góp của cử tri để chuẩn bị cho việc xem xét, thảo luận, thông qua dự thảo Nghị quyết tại kỳ họp Quốc hội.</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8. Các cơ quan thông tấn, báo chí có trách nhiệm mở chuyên trang, chuyên mục để tuyên truyền, phổ biến và phản ánh, đưa tin trong quá trình lấy ý kiến của Nhân dân về dự thảo Nghị quyết.</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9. Chính phủ có trách nhiệm chủ trì tổ chức tổng hợp ý kiến đóng góp của Nhân dân, các ngành, các cấp thể hiện trong báo cáo của các cơ quan từ điểm III.2 đến điểm III.6 của mục này; xây dựng Báo cáo tổng hợp kết quả lấy ý kiến Nhân dân, các ngành, các cấp gửi đến Ủy ban dự thảo sửa đổi, bổ sung Hiến pháp.</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IV. BÁO CÁO TỔNG HỢP KẾT QUẢ LẤY Ý KIẾN NHÂN DÂN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1. Báo cáo tổng hợp kết quả lấy ý kiến Nhân dân, các ngành, các cấp về dự thảo Nghị quyết phải tập hợp và phản ánh trung thực, đầy đủ, khách quan các ý kiến đóng góp của Nhân dân, các ngành, các cấp, các cơ quan, tổ chức và cá nhân.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2. Báo cáo tổng hợp kết quả lấy ý kiến Nhân dân, các ngành, các cấp cần thể hiện các nội dung sau đây:</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Đánh giá về tình hình triển khai và kết quả tổ chức lấy ý kiến Nhân dân, các ngành, các cấp; tổng số lượt ý kiến mà Nhân dân, các ngành, các cấp tham gia ý kiến về dự thảo Nghị quyết.</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Tổng hợp các ý kiến góp ý về dự thảo Nghị quyết, bao gồm: ý kiến chung; ý kiến góp ý cụ thể về từng nội dung, điều, khoản trong dự thảo Nghị quyết, trong đó nêu rõ số lượng ý kiến tán thành hoặc không tán thành và lý do; các ý kiến góp ý về kỹ thuật lập hiến; ý kiến về các nội dung khác (nếu có).</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V. TIẾN ĐỘ THỰC HIỆN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1. Ngày 06/5/2025: Công bố dự thảo Nghị quyết lấy ý kiến Nhân dân, các ngành, các cấp trên Cổng thông tin điện tử của Quốc hội, Chính phủ, Ủy ban nhân dân các tỉnh, thành phố trực thuộc trung ương.</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2. Từ ngày 06/5/2025 - 30/5/2025: Các cơ quan, tổ chức, địa phương, tổ chức lấy ý kiến Nhân dân tại cơ quan, tổ chức, địa phương mình theo hình thức xác định tại mục II.3 của Kế hoạch này; các cá nhân có thể trực tiếp đóng góp ý kiến trên ứng dụng VNeID, Cổng thông tin điện tử Quốc hội, Cổng thông tin điện tử Chính phủ hoặc gửi ý kiến góp ý bằng văn bản đến các cơ quan có trách nhiệm tổng hợp ý kiến Nhân dân.</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3. Chậm nhất là ngày 30/5/2025: Các cơ quan, tổ chức, địa phương, các ngành, các cấp gửi Báo cáo tổng hợp kết quả lấy ý kiến đến Chính phủ (qua Bộ Tư pháp).</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4. Chậm nhất là ngày 05/6/2025: Chính phủ gửi Báo cáo tổng hợp kết quả lấy ý kiến Nhân dân, các ngành, các cấp đến Ủy ban dự thảo sửa đổi, bổ sung Hiến pháp (qua Thường trực Ủy ban Pháp luật và Tư pháp của Quốc hội), kèm theo Phụ lục là các Báo cáo tổng hợp kết quả lấy ý kiến của các cơ quan, tổ chức, địa phương (nêu tại mục II.3 của Kế hoạch này).</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b/>
          <w:bCs/>
          <w:color w:val="222222"/>
          <w:sz w:val="22"/>
        </w:rPr>
        <w:t>VI. ĐIỀU KIỆN BẢO ĐẢM</w:t>
      </w:r>
    </w:p>
    <w:p w:rsidR="00B229AD" w:rsidRPr="00B229AD" w:rsidRDefault="00B229AD" w:rsidP="00B229AD">
      <w:pPr>
        <w:shd w:val="clear" w:color="auto" w:fill="F1F1F1"/>
        <w:spacing w:after="0" w:line="240" w:lineRule="auto"/>
        <w:jc w:val="both"/>
        <w:textAlignment w:val="baseline"/>
        <w:rPr>
          <w:rFonts w:eastAsia="Times New Roman" w:cs="Times New Roman"/>
          <w:color w:val="222222"/>
          <w:sz w:val="22"/>
        </w:rPr>
      </w:pPr>
      <w:r w:rsidRPr="00B229AD">
        <w:rPr>
          <w:rFonts w:eastAsia="Times New Roman" w:cs="Times New Roman"/>
          <w:color w:val="222222"/>
          <w:sz w:val="22"/>
        </w:rPr>
        <w:t xml:space="preserve">Kinh phí phục vụ cho việc tổ chức lấy ý kiến Nhân dân, các ngành, các cấp về dự thảo Nghị quyết do ngân sách nhà nước bảo đảm </w:t>
      </w:r>
      <w:proofErr w:type="gramStart"/>
      <w:r w:rsidRPr="00B229AD">
        <w:rPr>
          <w:rFonts w:eastAsia="Times New Roman" w:cs="Times New Roman"/>
          <w:color w:val="222222"/>
          <w:sz w:val="22"/>
        </w:rPr>
        <w:t>theo</w:t>
      </w:r>
      <w:proofErr w:type="gramEnd"/>
      <w:r w:rsidRPr="00B229AD">
        <w:rPr>
          <w:rFonts w:eastAsia="Times New Roman" w:cs="Times New Roman"/>
          <w:color w:val="222222"/>
          <w:sz w:val="22"/>
        </w:rPr>
        <w:t xml:space="preserve"> hướng dẫn của Bộ Tài chính.</w:t>
      </w:r>
    </w:p>
    <w:tbl>
      <w:tblPr>
        <w:tblW w:w="10500" w:type="dxa"/>
        <w:tblCellMar>
          <w:left w:w="0" w:type="dxa"/>
          <w:right w:w="0" w:type="dxa"/>
        </w:tblCellMar>
        <w:tblLook w:val="04A0" w:firstRow="1" w:lastRow="0" w:firstColumn="1" w:lastColumn="0" w:noHBand="0" w:noVBand="1"/>
      </w:tblPr>
      <w:tblGrid>
        <w:gridCol w:w="4813"/>
        <w:gridCol w:w="5687"/>
      </w:tblGrid>
      <w:tr w:rsidR="00B229AD" w:rsidRPr="00B229AD" w:rsidTr="00B229AD">
        <w:tc>
          <w:tcPr>
            <w:tcW w:w="4215" w:type="dxa"/>
            <w:vAlign w:val="center"/>
            <w:hideMark/>
          </w:tcPr>
          <w:p w:rsidR="00B229AD" w:rsidRPr="00B229AD" w:rsidRDefault="00B229AD" w:rsidP="00B229AD">
            <w:pPr>
              <w:spacing w:after="0" w:line="240" w:lineRule="auto"/>
              <w:jc w:val="both"/>
              <w:textAlignment w:val="baseline"/>
              <w:rPr>
                <w:rFonts w:eastAsia="Times New Roman" w:cs="Times New Roman"/>
                <w:sz w:val="22"/>
              </w:rPr>
            </w:pPr>
            <w:r w:rsidRPr="00B229AD">
              <w:rPr>
                <w:rFonts w:eastAsia="Times New Roman" w:cs="Times New Roman"/>
                <w:b/>
                <w:bCs/>
                <w:i/>
                <w:iCs/>
                <w:sz w:val="22"/>
                <w:bdr w:val="none" w:sz="0" w:space="0" w:color="auto" w:frame="1"/>
              </w:rPr>
              <w:t>Nơi nhận:</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Thành viên UBDTSĐBSHP;</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UBTVQH;</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Chính phủ;</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TANDTC, VKSNDTC, KTNN;</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UBTW MTTQVN;</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Các Ban Đảng Trung ương; VPTW Đảng;</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TT HĐDT, các UB của QH, VPQH;</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Bộ, cơ quan ngang Bộ, cơ quan thuộc CP; </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VPCTN;</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Tỉnh ủy/Thành ủy, HĐND, UBND, Đoàn ĐBQH tỉnh, TP. trực thuộc TW;</w:t>
            </w:r>
          </w:p>
          <w:p w:rsidR="00B229AD" w:rsidRPr="00B229AD" w:rsidRDefault="00B229AD" w:rsidP="00B229AD">
            <w:pPr>
              <w:spacing w:after="0" w:line="240" w:lineRule="auto"/>
              <w:ind w:left="37"/>
              <w:jc w:val="both"/>
              <w:textAlignment w:val="baseline"/>
              <w:rPr>
                <w:rFonts w:eastAsia="Times New Roman" w:cs="Times New Roman"/>
                <w:sz w:val="22"/>
              </w:rPr>
            </w:pPr>
            <w:r w:rsidRPr="00B229AD">
              <w:rPr>
                <w:rFonts w:eastAsia="Times New Roman" w:cs="Times New Roman"/>
                <w:sz w:val="22"/>
              </w:rPr>
              <w:t>- Lưu: HC, PLTP.</w:t>
            </w:r>
          </w:p>
        </w:tc>
        <w:tc>
          <w:tcPr>
            <w:tcW w:w="4980" w:type="dxa"/>
            <w:vAlign w:val="center"/>
            <w:hideMark/>
          </w:tcPr>
          <w:p w:rsidR="00B229AD" w:rsidRPr="00B229AD" w:rsidRDefault="00B229AD" w:rsidP="00B229AD">
            <w:pPr>
              <w:spacing w:after="0" w:line="240" w:lineRule="auto"/>
              <w:ind w:left="-71"/>
              <w:jc w:val="center"/>
              <w:textAlignment w:val="baseline"/>
              <w:rPr>
                <w:rFonts w:eastAsia="Times New Roman" w:cs="Times New Roman"/>
                <w:sz w:val="22"/>
              </w:rPr>
            </w:pPr>
            <w:r w:rsidRPr="00B229AD">
              <w:rPr>
                <w:rFonts w:eastAsia="Times New Roman" w:cs="Times New Roman"/>
                <w:sz w:val="22"/>
              </w:rPr>
              <w:t>     </w:t>
            </w:r>
            <w:r w:rsidRPr="00B229AD">
              <w:rPr>
                <w:rFonts w:eastAsia="Times New Roman" w:cs="Times New Roman"/>
                <w:b/>
                <w:bCs/>
                <w:sz w:val="22"/>
              </w:rPr>
              <w:t>TM. ỦY BAN DỰ THẢO SỬA ĐỔI, BỔ SUNG</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     MỘT SỐ ĐIỀU CỦA HIẾN PHÁP NĂM 2013</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CHỦ TỊCH</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 </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i/>
                <w:iCs/>
                <w:sz w:val="22"/>
                <w:bdr w:val="none" w:sz="0" w:space="0" w:color="auto" w:frame="1"/>
              </w:rPr>
              <w:t>(Đã ký)</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 </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sz w:val="22"/>
              </w:rPr>
              <w:t> </w:t>
            </w:r>
          </w:p>
          <w:p w:rsidR="00B229AD" w:rsidRPr="00B229AD" w:rsidRDefault="00B229AD" w:rsidP="00B229AD">
            <w:pPr>
              <w:spacing w:after="0" w:line="240" w:lineRule="auto"/>
              <w:jc w:val="center"/>
              <w:textAlignment w:val="baseline"/>
              <w:rPr>
                <w:rFonts w:eastAsia="Times New Roman" w:cs="Times New Roman"/>
                <w:sz w:val="22"/>
              </w:rPr>
            </w:pPr>
            <w:r w:rsidRPr="00B229AD">
              <w:rPr>
                <w:rFonts w:eastAsia="Times New Roman" w:cs="Times New Roman"/>
                <w:b/>
                <w:bCs/>
                <w:sz w:val="22"/>
              </w:rPr>
              <w:t>Trần Thanh Mẫn</w:t>
            </w:r>
          </w:p>
        </w:tc>
      </w:tr>
    </w:tbl>
    <w:p w:rsidR="005F010B" w:rsidRDefault="005F010B"/>
    <w:sectPr w:rsidR="005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AD"/>
    <w:rsid w:val="005F010B"/>
    <w:rsid w:val="00B2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68CA8-FFD9-475D-BE10-02877477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6080">
      <w:bodyDiv w:val="1"/>
      <w:marLeft w:val="0"/>
      <w:marRight w:val="0"/>
      <w:marTop w:val="0"/>
      <w:marBottom w:val="0"/>
      <w:divBdr>
        <w:top w:val="none" w:sz="0" w:space="0" w:color="auto"/>
        <w:left w:val="none" w:sz="0" w:space="0" w:color="auto"/>
        <w:bottom w:val="none" w:sz="0" w:space="0" w:color="auto"/>
        <w:right w:val="none" w:sz="0" w:space="0" w:color="auto"/>
      </w:divBdr>
      <w:divsChild>
        <w:div w:id="1853108124">
          <w:marLeft w:val="0"/>
          <w:marRight w:val="0"/>
          <w:marTop w:val="0"/>
          <w:marBottom w:val="0"/>
          <w:divBdr>
            <w:top w:val="none" w:sz="0" w:space="0" w:color="auto"/>
            <w:left w:val="none" w:sz="0" w:space="0" w:color="auto"/>
            <w:bottom w:val="none" w:sz="0" w:space="0" w:color="auto"/>
            <w:right w:val="none" w:sz="0" w:space="0" w:color="auto"/>
          </w:divBdr>
        </w:div>
        <w:div w:id="103935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1645</Words>
  <Characters>9381</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Kế hoạch Tổ chức lấy ý kiến Nhân dân, các ngành, các cấp về dự thảo Nghị quyết</vt:lpstr>
    </vt:vector>
  </TitlesOfParts>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2025-05-06T03:32:00Z</dcterms:created>
  <dcterms:modified xsi:type="dcterms:W3CDTF">2025-05-06T03:48:00Z</dcterms:modified>
</cp:coreProperties>
</file>